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2B" w:rsidRPr="0064284B" w:rsidRDefault="00833B2B" w:rsidP="00833B2B">
      <w:pPr>
        <w:tabs>
          <w:tab w:val="left" w:pos="0"/>
          <w:tab w:val="left" w:pos="1815"/>
        </w:tabs>
        <w:jc w:val="center"/>
        <w:rPr>
          <w:rFonts w:ascii="Times New Roman" w:hAnsi="Times New Roman"/>
          <w:b/>
          <w:sz w:val="28"/>
          <w:szCs w:val="28"/>
          <w:lang w:val="uk-UA"/>
        </w:rPr>
      </w:pPr>
      <w:r w:rsidRPr="0064284B">
        <w:rPr>
          <w:rFonts w:ascii="Times New Roman" w:hAnsi="Times New Roman"/>
          <w:b/>
          <w:sz w:val="28"/>
          <w:szCs w:val="28"/>
          <w:lang w:val="uk-UA"/>
        </w:rPr>
        <w:t>Звіт постійної комісії районної ради з питань депутатської етики, дотримання прав людини, законності та боротьби зі злочинністю</w:t>
      </w:r>
    </w:p>
    <w:p w:rsidR="00833B2B" w:rsidRPr="0064284B" w:rsidRDefault="00833B2B" w:rsidP="00833B2B">
      <w:pPr>
        <w:tabs>
          <w:tab w:val="left" w:pos="0"/>
          <w:tab w:val="left" w:pos="1815"/>
        </w:tabs>
        <w:jc w:val="center"/>
        <w:rPr>
          <w:rFonts w:ascii="Times New Roman" w:hAnsi="Times New Roman"/>
          <w:b/>
          <w:sz w:val="28"/>
          <w:szCs w:val="28"/>
          <w:lang w:val="uk-UA"/>
        </w:rPr>
      </w:pPr>
    </w:p>
    <w:p w:rsidR="00833B2B" w:rsidRPr="0064284B" w:rsidRDefault="00833B2B" w:rsidP="00833B2B">
      <w:pPr>
        <w:tabs>
          <w:tab w:val="left" w:pos="0"/>
          <w:tab w:val="left" w:pos="1815"/>
        </w:tabs>
        <w:jc w:val="center"/>
        <w:rPr>
          <w:rFonts w:ascii="Times New Roman" w:hAnsi="Times New Roman"/>
          <w:sz w:val="28"/>
          <w:szCs w:val="28"/>
          <w:lang w:val="uk-UA"/>
        </w:rPr>
      </w:pPr>
      <w:r w:rsidRPr="0064284B">
        <w:rPr>
          <w:rFonts w:ascii="Times New Roman" w:hAnsi="Times New Roman"/>
          <w:sz w:val="28"/>
          <w:szCs w:val="28"/>
          <w:lang w:val="uk-UA"/>
        </w:rPr>
        <w:t>Шановні депутати!</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Відповідно до Закону України „Про місцеве самоврядування в </w:t>
      </w:r>
      <w:proofErr w:type="spellStart"/>
      <w:r w:rsidRPr="0064284B">
        <w:rPr>
          <w:rFonts w:ascii="Times New Roman" w:hAnsi="Times New Roman"/>
          <w:sz w:val="28"/>
          <w:szCs w:val="28"/>
          <w:lang w:val="uk-UA"/>
        </w:rPr>
        <w:t>Україні”</w:t>
      </w:r>
      <w:proofErr w:type="spellEnd"/>
      <w:r w:rsidRPr="0064284B">
        <w:rPr>
          <w:rFonts w:ascii="Times New Roman" w:hAnsi="Times New Roman"/>
          <w:sz w:val="28"/>
          <w:szCs w:val="28"/>
          <w:lang w:val="uk-UA"/>
        </w:rPr>
        <w:t xml:space="preserve"> рішенням районної ради нового скликання від 17.12.2010 № 2/3 було затверджено Положення про постійні комісії районної ради, де визначено функціональну спрямованість постійної комісії з питань депутатської етики, дотримання прав людини, законності та боротьби зі злочинністю. </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b/>
          <w:sz w:val="28"/>
          <w:szCs w:val="28"/>
          <w:lang w:val="uk-UA"/>
        </w:rPr>
        <w:t>Дана комісія:</w:t>
      </w:r>
      <w:r w:rsidRPr="0064284B">
        <w:rPr>
          <w:rFonts w:ascii="Times New Roman" w:hAnsi="Times New Roman"/>
          <w:sz w:val="28"/>
          <w:szCs w:val="28"/>
          <w:lang w:val="uk-UA"/>
        </w:rPr>
        <w:t xml:space="preserve"> </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за дорученням районної ради або її голови розглядає питання, пов’язані з депутатською діяльністю та дотриманням депутатом норм етики і моралі, а в разі необхідності готує та подає свої рекомендації щодо роботи депутатів у раді, виконання ними рішень ради та її органів на розгляд районної ради;</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готує висновки і обґрунтовує пропозиції щодо питань, пов’язаних з відкликанням депутата виборцями, або фракцією, достроковим припиненням його повноважень в установленому законом порядку; </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аналізує стан злочинності в районі, роботу правоохоронних органів по боротьбі з корупцією та організованою злочинністю і на основі цього вносить відповідні рекомендації на розгляд ради; </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бере участь у організаційних заходах спільно з представниками правоохоронних органів щодо підвищення ефективності роботи по боротьбі зі злочинністю та профілактики правопорушень, дотримання прав людини, законності та забезпечення громадського порядку тощо.</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b/>
          <w:sz w:val="28"/>
          <w:szCs w:val="28"/>
          <w:lang w:val="uk-UA"/>
        </w:rPr>
        <w:t>До складу постійної комісії входить 12 депутатів</w:t>
      </w:r>
      <w:r w:rsidRPr="0064284B">
        <w:rPr>
          <w:rFonts w:ascii="Times New Roman" w:hAnsi="Times New Roman"/>
          <w:sz w:val="28"/>
          <w:szCs w:val="28"/>
          <w:lang w:val="uk-UA"/>
        </w:rPr>
        <w:t>, а саме:</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Філозоф</w:t>
      </w:r>
      <w:proofErr w:type="spellEnd"/>
      <w:r w:rsidRPr="0064284B">
        <w:rPr>
          <w:rFonts w:ascii="Times New Roman" w:hAnsi="Times New Roman"/>
          <w:sz w:val="28"/>
          <w:szCs w:val="28"/>
          <w:lang w:val="uk-UA"/>
        </w:rPr>
        <w:t xml:space="preserve"> Мирослав Васильович – голова комісії;</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Семесюк</w:t>
      </w:r>
      <w:proofErr w:type="spellEnd"/>
      <w:r w:rsidRPr="0064284B">
        <w:rPr>
          <w:rFonts w:ascii="Times New Roman" w:hAnsi="Times New Roman"/>
          <w:sz w:val="28"/>
          <w:szCs w:val="28"/>
          <w:lang w:val="uk-UA"/>
        </w:rPr>
        <w:t xml:space="preserve"> Григорій Ананійович – заступник голови комісії;</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Бірук</w:t>
      </w:r>
      <w:proofErr w:type="spellEnd"/>
      <w:r w:rsidRPr="0064284B">
        <w:rPr>
          <w:rFonts w:ascii="Times New Roman" w:hAnsi="Times New Roman"/>
          <w:sz w:val="28"/>
          <w:szCs w:val="28"/>
          <w:lang w:val="uk-UA"/>
        </w:rPr>
        <w:t xml:space="preserve"> Ольга Василівна – секретар комісії.</w:t>
      </w:r>
    </w:p>
    <w:p w:rsidR="00833B2B" w:rsidRPr="00A5666B" w:rsidRDefault="00833B2B" w:rsidP="00833B2B">
      <w:pPr>
        <w:tabs>
          <w:tab w:val="left" w:pos="0"/>
          <w:tab w:val="left" w:pos="1815"/>
        </w:tabs>
        <w:ind w:firstLine="567"/>
        <w:jc w:val="both"/>
        <w:rPr>
          <w:rFonts w:ascii="Times New Roman" w:hAnsi="Times New Roman"/>
          <w:b/>
          <w:sz w:val="28"/>
          <w:szCs w:val="28"/>
          <w:lang w:val="uk-UA"/>
        </w:rPr>
      </w:pPr>
      <w:r w:rsidRPr="00A5666B">
        <w:rPr>
          <w:rFonts w:ascii="Times New Roman" w:hAnsi="Times New Roman"/>
          <w:b/>
          <w:sz w:val="28"/>
          <w:szCs w:val="28"/>
          <w:lang w:val="uk-UA"/>
        </w:rPr>
        <w:t>Члени комісії:</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Волощук Олександр Павлович;</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Дручик</w:t>
      </w:r>
      <w:proofErr w:type="spellEnd"/>
      <w:r w:rsidRPr="0064284B">
        <w:rPr>
          <w:rFonts w:ascii="Times New Roman" w:hAnsi="Times New Roman"/>
          <w:sz w:val="28"/>
          <w:szCs w:val="28"/>
          <w:lang w:val="uk-UA"/>
        </w:rPr>
        <w:t xml:space="preserve"> Володимир Данилович;</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Карбовський</w:t>
      </w:r>
      <w:proofErr w:type="spellEnd"/>
      <w:r w:rsidRPr="0064284B">
        <w:rPr>
          <w:rFonts w:ascii="Times New Roman" w:hAnsi="Times New Roman"/>
          <w:sz w:val="28"/>
          <w:szCs w:val="28"/>
          <w:lang w:val="uk-UA"/>
        </w:rPr>
        <w:t xml:space="preserve"> Святослав Євгенович;</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Котко Олександр Михайлович;</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Ліпчик</w:t>
      </w:r>
      <w:proofErr w:type="spellEnd"/>
      <w:r w:rsidRPr="0064284B">
        <w:rPr>
          <w:rFonts w:ascii="Times New Roman" w:hAnsi="Times New Roman"/>
          <w:sz w:val="28"/>
          <w:szCs w:val="28"/>
          <w:lang w:val="uk-UA"/>
        </w:rPr>
        <w:t xml:space="preserve"> Віктор Анатолійович;</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Перванчук</w:t>
      </w:r>
      <w:proofErr w:type="spellEnd"/>
      <w:r w:rsidRPr="0064284B">
        <w:rPr>
          <w:rFonts w:ascii="Times New Roman" w:hAnsi="Times New Roman"/>
          <w:sz w:val="28"/>
          <w:szCs w:val="28"/>
          <w:lang w:val="uk-UA"/>
        </w:rPr>
        <w:t xml:space="preserve"> Ольга Леонідівна;</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Собуцька</w:t>
      </w:r>
      <w:proofErr w:type="spellEnd"/>
      <w:r w:rsidRPr="0064284B">
        <w:rPr>
          <w:rFonts w:ascii="Times New Roman" w:hAnsi="Times New Roman"/>
          <w:sz w:val="28"/>
          <w:szCs w:val="28"/>
          <w:lang w:val="uk-UA"/>
        </w:rPr>
        <w:t xml:space="preserve"> Євгенія Володимирівна;</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Цика</w:t>
      </w:r>
      <w:proofErr w:type="spellEnd"/>
      <w:r w:rsidRPr="0064284B">
        <w:rPr>
          <w:rFonts w:ascii="Times New Roman" w:hAnsi="Times New Roman"/>
          <w:sz w:val="28"/>
          <w:szCs w:val="28"/>
          <w:lang w:val="uk-UA"/>
        </w:rPr>
        <w:t xml:space="preserve"> Степан Тадейович;</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proofErr w:type="spellStart"/>
      <w:r w:rsidRPr="0064284B">
        <w:rPr>
          <w:rFonts w:ascii="Times New Roman" w:hAnsi="Times New Roman"/>
          <w:sz w:val="28"/>
          <w:szCs w:val="28"/>
          <w:lang w:val="uk-UA"/>
        </w:rPr>
        <w:t>Шкоропад</w:t>
      </w:r>
      <w:proofErr w:type="spellEnd"/>
      <w:r w:rsidRPr="0064284B">
        <w:rPr>
          <w:rFonts w:ascii="Times New Roman" w:hAnsi="Times New Roman"/>
          <w:sz w:val="28"/>
          <w:szCs w:val="28"/>
          <w:lang w:val="uk-UA"/>
        </w:rPr>
        <w:t xml:space="preserve"> Надія Венедиктівна. </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Свою роботу постійна комісія з питань депутатської етики, дотримання прав людини, законності та боротьби зі злочинністю здійснювала відповідно до статті 47 Закону України „Про місцеве самоврядування в </w:t>
      </w:r>
      <w:proofErr w:type="spellStart"/>
      <w:r w:rsidRPr="0064284B">
        <w:rPr>
          <w:rFonts w:ascii="Times New Roman" w:hAnsi="Times New Roman"/>
          <w:sz w:val="28"/>
          <w:szCs w:val="28"/>
          <w:lang w:val="uk-UA"/>
        </w:rPr>
        <w:t>Україні”</w:t>
      </w:r>
      <w:proofErr w:type="spellEnd"/>
      <w:r w:rsidRPr="0064284B">
        <w:rPr>
          <w:rFonts w:ascii="Times New Roman" w:hAnsi="Times New Roman"/>
          <w:sz w:val="28"/>
          <w:szCs w:val="28"/>
          <w:lang w:val="uk-UA"/>
        </w:rPr>
        <w:t xml:space="preserve"> та Положення про постійні комісії районної ради.</w:t>
      </w:r>
    </w:p>
    <w:p w:rsidR="00833B2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Назва комісії складається із двох частин: перша – щодо депутатської етики, а друга стосується дотримання прав людини, законності та боротьби зі злочинністю. Зважаючи на те, що до складу депутатів районної ради шостого скликання входять досить толерантні, мудрі та виважені люди, на розгляд комісії не виносились питання щодо якихось порушень етики та поведінки депутатів.</w:t>
      </w:r>
    </w:p>
    <w:p w:rsidR="00833B2B" w:rsidRDefault="00833B2B" w:rsidP="00833B2B">
      <w:pPr>
        <w:tabs>
          <w:tab w:val="left" w:pos="0"/>
          <w:tab w:val="left" w:pos="1815"/>
        </w:tabs>
        <w:ind w:firstLine="567"/>
        <w:jc w:val="both"/>
        <w:rPr>
          <w:rFonts w:ascii="Times New Roman" w:hAnsi="Times New Roman"/>
          <w:sz w:val="28"/>
          <w:szCs w:val="28"/>
          <w:lang w:val="uk-UA"/>
        </w:rPr>
      </w:pPr>
    </w:p>
    <w:p w:rsidR="00833B2B" w:rsidRPr="0064284B" w:rsidRDefault="00833B2B" w:rsidP="00833B2B">
      <w:pPr>
        <w:tabs>
          <w:tab w:val="left" w:pos="0"/>
          <w:tab w:val="left" w:pos="1815"/>
        </w:tabs>
        <w:ind w:firstLine="567"/>
        <w:jc w:val="both"/>
        <w:rPr>
          <w:rFonts w:ascii="Times New Roman" w:hAnsi="Times New Roman"/>
          <w:sz w:val="28"/>
          <w:szCs w:val="28"/>
          <w:lang w:val="uk-UA"/>
        </w:rPr>
      </w:pPr>
    </w:p>
    <w:p w:rsidR="00833B2B" w:rsidRPr="0064284B" w:rsidRDefault="00833B2B" w:rsidP="00833B2B">
      <w:pPr>
        <w:tabs>
          <w:tab w:val="left" w:pos="0"/>
          <w:tab w:val="left" w:pos="1815"/>
        </w:tabs>
        <w:jc w:val="both"/>
        <w:rPr>
          <w:rFonts w:ascii="Times New Roman" w:hAnsi="Times New Roman"/>
          <w:sz w:val="28"/>
          <w:szCs w:val="28"/>
          <w:lang w:val="uk-UA"/>
        </w:rPr>
      </w:pP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lastRenderedPageBreak/>
        <w:t>В загальному за звітний період комісією було проведено 8 засідань, на яких розглянуто 43 питання. Більшість із них було винесено на розгляд та затвердження районної ради.</w:t>
      </w:r>
    </w:p>
    <w:p w:rsidR="00833B2B" w:rsidRPr="0064284B" w:rsidRDefault="00833B2B" w:rsidP="00833B2B">
      <w:pPr>
        <w:tabs>
          <w:tab w:val="left" w:pos="0"/>
          <w:tab w:val="left" w:pos="1815"/>
        </w:tabs>
        <w:ind w:firstLine="567"/>
        <w:jc w:val="both"/>
        <w:rPr>
          <w:rFonts w:ascii="Times New Roman" w:hAnsi="Times New Roman"/>
          <w:b/>
          <w:sz w:val="28"/>
          <w:szCs w:val="28"/>
          <w:lang w:val="uk-UA"/>
        </w:rPr>
      </w:pPr>
      <w:r w:rsidRPr="0064284B">
        <w:rPr>
          <w:rFonts w:ascii="Times New Roman" w:hAnsi="Times New Roman"/>
          <w:sz w:val="28"/>
          <w:szCs w:val="28"/>
          <w:lang w:val="uk-UA"/>
        </w:rPr>
        <w:t xml:space="preserve"> </w:t>
      </w:r>
      <w:r w:rsidRPr="0064284B">
        <w:rPr>
          <w:rFonts w:ascii="Times New Roman" w:hAnsi="Times New Roman"/>
          <w:b/>
          <w:sz w:val="28"/>
          <w:szCs w:val="28"/>
          <w:lang w:val="uk-UA"/>
        </w:rPr>
        <w:t>Досить важливими були питання:</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 про поліпшення профілактичних заходів із зловживання спиртними напоями та ліквідації нелегального продажу алкоголю в сільській місцевості;</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 про хід виконання районної програми заходів щодо забезпечення особистої безпеки громадян та протидії злочинності на період з 2011 по 2015 роки;</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 про хід виконання районної комплексної Програми профілактики злочинності на 2011 – 2015 роки.</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Адже саме ці програми спрямовані на забезпечення ефективності здійснення узгоджених заходів щодо профілактики правопорушень, покращення стану правопорядку в районі та усунення причин, що зумовили вчинення протиправних дій.</w:t>
      </w:r>
    </w:p>
    <w:p w:rsidR="00833B2B" w:rsidRPr="0064284B" w:rsidRDefault="00833B2B" w:rsidP="00833B2B">
      <w:pPr>
        <w:tabs>
          <w:tab w:val="left" w:pos="0"/>
          <w:tab w:val="left" w:pos="709"/>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Згідно Закону України „Про місцеве самоврядування в </w:t>
      </w:r>
      <w:proofErr w:type="spellStart"/>
      <w:r w:rsidRPr="0064284B">
        <w:rPr>
          <w:rFonts w:ascii="Times New Roman" w:hAnsi="Times New Roman"/>
          <w:sz w:val="28"/>
          <w:szCs w:val="28"/>
          <w:lang w:val="uk-UA"/>
        </w:rPr>
        <w:t>Україні”</w:t>
      </w:r>
      <w:proofErr w:type="spellEnd"/>
      <w:r w:rsidRPr="0064284B">
        <w:rPr>
          <w:rFonts w:ascii="Times New Roman" w:hAnsi="Times New Roman"/>
          <w:sz w:val="28"/>
          <w:szCs w:val="28"/>
          <w:lang w:val="uk-UA"/>
        </w:rPr>
        <w:t xml:space="preserve"> на засіданнях постійної комісії систематично заслуховувалась інформація прокурора Луцького району </w:t>
      </w:r>
      <w:proofErr w:type="spellStart"/>
      <w:r w:rsidRPr="0064284B">
        <w:rPr>
          <w:rFonts w:ascii="Times New Roman" w:hAnsi="Times New Roman"/>
          <w:sz w:val="28"/>
          <w:szCs w:val="28"/>
          <w:lang w:val="uk-UA"/>
        </w:rPr>
        <w:t>Масалова</w:t>
      </w:r>
      <w:proofErr w:type="spellEnd"/>
      <w:r w:rsidRPr="0064284B">
        <w:rPr>
          <w:rFonts w:ascii="Times New Roman" w:hAnsi="Times New Roman"/>
          <w:sz w:val="28"/>
          <w:szCs w:val="28"/>
          <w:lang w:val="uk-UA"/>
        </w:rPr>
        <w:t xml:space="preserve"> С.М. та начальника Луцького РВ УМВС України у Волинській області </w:t>
      </w:r>
      <w:proofErr w:type="spellStart"/>
      <w:r w:rsidRPr="0064284B">
        <w:rPr>
          <w:rFonts w:ascii="Times New Roman" w:hAnsi="Times New Roman"/>
          <w:sz w:val="28"/>
          <w:szCs w:val="28"/>
          <w:lang w:val="uk-UA"/>
        </w:rPr>
        <w:t>Тягунова</w:t>
      </w:r>
      <w:proofErr w:type="spellEnd"/>
      <w:r w:rsidRPr="0064284B">
        <w:rPr>
          <w:rFonts w:ascii="Times New Roman" w:hAnsi="Times New Roman"/>
          <w:sz w:val="28"/>
          <w:szCs w:val="28"/>
          <w:lang w:val="uk-UA"/>
        </w:rPr>
        <w:t xml:space="preserve"> С.А. про стан законності, боротьби із злочинністю, охорони громадського порядку та результати діяльності на території Луцького району.</w:t>
      </w:r>
    </w:p>
    <w:p w:rsidR="00833B2B" w:rsidRPr="0064284B" w:rsidRDefault="00833B2B" w:rsidP="00833B2B">
      <w:pPr>
        <w:tabs>
          <w:tab w:val="left" w:pos="0"/>
          <w:tab w:val="left" w:pos="709"/>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Відповідно до частини 4 статті 47 Закону України „Про місцеве самоврядування в </w:t>
      </w:r>
      <w:proofErr w:type="spellStart"/>
      <w:r w:rsidRPr="0064284B">
        <w:rPr>
          <w:rFonts w:ascii="Times New Roman" w:hAnsi="Times New Roman"/>
          <w:sz w:val="28"/>
          <w:szCs w:val="28"/>
          <w:lang w:val="uk-UA"/>
        </w:rPr>
        <w:t>Україні”</w:t>
      </w:r>
      <w:proofErr w:type="spellEnd"/>
      <w:r w:rsidRPr="0064284B">
        <w:rPr>
          <w:rFonts w:ascii="Times New Roman" w:hAnsi="Times New Roman"/>
          <w:sz w:val="28"/>
          <w:szCs w:val="28"/>
          <w:lang w:val="uk-UA"/>
        </w:rPr>
        <w:t xml:space="preserve"> депутатами нашої комісії було розглянуто багато різних питань, а саме:</w:t>
      </w:r>
    </w:p>
    <w:p w:rsidR="00833B2B" w:rsidRPr="0064284B" w:rsidRDefault="00833B2B" w:rsidP="00833B2B">
      <w:pPr>
        <w:tabs>
          <w:tab w:val="left" w:pos="0"/>
          <w:tab w:val="left" w:pos="709"/>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про підвищення ефективності роботи з сільською молоддю, дітьми, сім’ями та активізації роботи в найбільш віддалених селах району (пропаганда здорового способу життя та профілактика негативних явищ в молодіжному середовищі);</w:t>
      </w:r>
    </w:p>
    <w:p w:rsidR="00833B2B" w:rsidRPr="0064284B" w:rsidRDefault="00833B2B" w:rsidP="00833B2B">
      <w:pPr>
        <w:tabs>
          <w:tab w:val="left" w:pos="0"/>
          <w:tab w:val="left" w:pos="709"/>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про присвоєння Березі Г.С. звання „Почесний громадянин Луцького </w:t>
      </w:r>
      <w:proofErr w:type="spellStart"/>
      <w:r w:rsidRPr="0064284B">
        <w:rPr>
          <w:rFonts w:ascii="Times New Roman" w:hAnsi="Times New Roman"/>
          <w:sz w:val="28"/>
          <w:szCs w:val="28"/>
          <w:lang w:val="uk-UA"/>
        </w:rPr>
        <w:t>району”</w:t>
      </w:r>
      <w:proofErr w:type="spellEnd"/>
      <w:r w:rsidRPr="0064284B">
        <w:rPr>
          <w:rFonts w:ascii="Times New Roman" w:hAnsi="Times New Roman"/>
          <w:sz w:val="28"/>
          <w:szCs w:val="28"/>
          <w:lang w:val="uk-UA"/>
        </w:rPr>
        <w:t>;</w:t>
      </w:r>
    </w:p>
    <w:p w:rsidR="00833B2B" w:rsidRPr="0064284B" w:rsidRDefault="00833B2B" w:rsidP="00833B2B">
      <w:pPr>
        <w:tabs>
          <w:tab w:val="left" w:pos="0"/>
          <w:tab w:val="left" w:pos="709"/>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про присвоєння </w:t>
      </w:r>
      <w:proofErr w:type="spellStart"/>
      <w:r w:rsidRPr="0064284B">
        <w:rPr>
          <w:rFonts w:ascii="Times New Roman" w:hAnsi="Times New Roman"/>
          <w:sz w:val="28"/>
          <w:szCs w:val="28"/>
          <w:lang w:val="uk-UA"/>
        </w:rPr>
        <w:t>Сургенту</w:t>
      </w:r>
      <w:proofErr w:type="spellEnd"/>
      <w:r w:rsidRPr="0064284B">
        <w:rPr>
          <w:rFonts w:ascii="Times New Roman" w:hAnsi="Times New Roman"/>
          <w:sz w:val="28"/>
          <w:szCs w:val="28"/>
          <w:lang w:val="uk-UA"/>
        </w:rPr>
        <w:t xml:space="preserve"> Ю.Ю. звання „Почесний громадянин Луцького </w:t>
      </w:r>
      <w:proofErr w:type="spellStart"/>
      <w:r w:rsidRPr="0064284B">
        <w:rPr>
          <w:rFonts w:ascii="Times New Roman" w:hAnsi="Times New Roman"/>
          <w:sz w:val="28"/>
          <w:szCs w:val="28"/>
          <w:lang w:val="uk-UA"/>
        </w:rPr>
        <w:t>району”</w:t>
      </w:r>
      <w:proofErr w:type="spellEnd"/>
      <w:r w:rsidRPr="0064284B">
        <w:rPr>
          <w:rFonts w:ascii="Times New Roman" w:hAnsi="Times New Roman"/>
          <w:sz w:val="28"/>
          <w:szCs w:val="28"/>
          <w:lang w:val="uk-UA"/>
        </w:rPr>
        <w:t>;</w:t>
      </w:r>
    </w:p>
    <w:p w:rsidR="00833B2B" w:rsidRPr="0064284B" w:rsidRDefault="00833B2B" w:rsidP="00833B2B">
      <w:pPr>
        <w:tabs>
          <w:tab w:val="left" w:pos="0"/>
          <w:tab w:val="left" w:pos="709"/>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про використання Прапора Європи, тощо. </w:t>
      </w:r>
    </w:p>
    <w:p w:rsidR="00833B2B" w:rsidRPr="0064284B" w:rsidRDefault="00833B2B" w:rsidP="00833B2B">
      <w:pPr>
        <w:tabs>
          <w:tab w:val="left" w:pos="0"/>
          <w:tab w:val="left" w:pos="1815"/>
        </w:tabs>
        <w:ind w:firstLine="567"/>
        <w:jc w:val="both"/>
        <w:rPr>
          <w:rFonts w:ascii="Times New Roman" w:hAnsi="Times New Roman"/>
          <w:sz w:val="28"/>
          <w:szCs w:val="28"/>
          <w:lang w:val="uk-UA"/>
        </w:rPr>
      </w:pPr>
      <w:r w:rsidRPr="0064284B">
        <w:rPr>
          <w:rFonts w:ascii="Times New Roman" w:hAnsi="Times New Roman"/>
          <w:sz w:val="28"/>
          <w:szCs w:val="28"/>
          <w:lang w:val="uk-UA"/>
        </w:rPr>
        <w:t xml:space="preserve"> На завершення свого виступу хочу зазначити, що за період своєї роботи постійною комісією було розглянуто ряд питань, які є надзвичайно важливими для соціально – економічного розвитку Луцького району. Також слід відмітити, що постійна комісія з питань депутатської етики, дотримання прав людини, законності та боротьби зі злочинністю завжди досить виважено та помірковано ставиться до вивчення, попереднього розгляду і підготовки питань, які належать до її відання.</w:t>
      </w:r>
    </w:p>
    <w:p w:rsidR="00833B2B" w:rsidRPr="0064284B" w:rsidRDefault="00833B2B" w:rsidP="00833B2B">
      <w:pPr>
        <w:tabs>
          <w:tab w:val="left" w:pos="0"/>
          <w:tab w:val="left" w:pos="1815"/>
        </w:tabs>
        <w:ind w:hanging="284"/>
        <w:jc w:val="both"/>
        <w:rPr>
          <w:rFonts w:ascii="Times New Roman" w:hAnsi="Times New Roman"/>
          <w:sz w:val="28"/>
          <w:szCs w:val="28"/>
          <w:lang w:val="uk-UA"/>
        </w:rPr>
      </w:pPr>
    </w:p>
    <w:p w:rsidR="00833B2B" w:rsidRPr="0064284B" w:rsidRDefault="00833B2B" w:rsidP="00833B2B">
      <w:pPr>
        <w:overflowPunct/>
        <w:autoSpaceDE/>
        <w:autoSpaceDN/>
        <w:adjustRightInd/>
        <w:rPr>
          <w:rFonts w:ascii="Times New Roman" w:hAnsi="Times New Roman"/>
          <w:b/>
          <w:sz w:val="28"/>
          <w:szCs w:val="28"/>
          <w:lang w:val="uk-UA"/>
        </w:rPr>
      </w:pPr>
      <w:r w:rsidRPr="0064284B">
        <w:rPr>
          <w:rFonts w:ascii="Times New Roman" w:hAnsi="Times New Roman"/>
          <w:b/>
          <w:sz w:val="28"/>
          <w:szCs w:val="28"/>
          <w:lang w:val="uk-UA"/>
        </w:rPr>
        <w:t>Дякую за увагу.</w:t>
      </w:r>
      <w:r w:rsidRPr="0064284B">
        <w:rPr>
          <w:rFonts w:ascii="Times New Roman" w:hAnsi="Times New Roman"/>
          <w:b/>
          <w:sz w:val="28"/>
          <w:szCs w:val="28"/>
          <w:lang w:val="uk-UA"/>
        </w:rPr>
        <w:tab/>
      </w:r>
      <w:r w:rsidRPr="0064284B">
        <w:rPr>
          <w:rFonts w:ascii="Times New Roman" w:hAnsi="Times New Roman"/>
          <w:b/>
          <w:sz w:val="28"/>
          <w:szCs w:val="28"/>
          <w:lang w:val="uk-UA"/>
        </w:rPr>
        <w:tab/>
      </w:r>
      <w:r w:rsidRPr="0064284B">
        <w:rPr>
          <w:rFonts w:ascii="Times New Roman" w:hAnsi="Times New Roman"/>
          <w:b/>
          <w:sz w:val="28"/>
          <w:szCs w:val="28"/>
          <w:lang w:val="uk-UA"/>
        </w:rPr>
        <w:tab/>
      </w:r>
      <w:r w:rsidRPr="0064284B">
        <w:rPr>
          <w:rFonts w:ascii="Times New Roman" w:hAnsi="Times New Roman"/>
          <w:b/>
          <w:sz w:val="28"/>
          <w:szCs w:val="28"/>
          <w:lang w:val="uk-UA"/>
        </w:rPr>
        <w:tab/>
      </w:r>
      <w:r w:rsidRPr="0064284B">
        <w:rPr>
          <w:rFonts w:ascii="Times New Roman" w:hAnsi="Times New Roman"/>
          <w:b/>
          <w:sz w:val="28"/>
          <w:szCs w:val="28"/>
          <w:lang w:val="uk-UA"/>
        </w:rPr>
        <w:tab/>
      </w:r>
      <w:r w:rsidRPr="0064284B">
        <w:rPr>
          <w:rFonts w:ascii="Times New Roman" w:hAnsi="Times New Roman"/>
          <w:b/>
          <w:sz w:val="28"/>
          <w:szCs w:val="28"/>
          <w:lang w:val="uk-UA"/>
        </w:rPr>
        <w:tab/>
      </w:r>
    </w:p>
    <w:p w:rsidR="00833B2B" w:rsidRPr="0064284B" w:rsidRDefault="00833B2B" w:rsidP="00833B2B">
      <w:pPr>
        <w:overflowPunct/>
        <w:autoSpaceDE/>
        <w:autoSpaceDN/>
        <w:adjustRightInd/>
        <w:rPr>
          <w:rFonts w:ascii="Times New Roman" w:hAnsi="Times New Roman"/>
          <w:sz w:val="24"/>
          <w:szCs w:val="24"/>
          <w:lang w:val="uk-UA"/>
        </w:rPr>
      </w:pPr>
    </w:p>
    <w:p w:rsidR="00833B2B" w:rsidRPr="0064284B" w:rsidRDefault="00833B2B" w:rsidP="00833B2B">
      <w:pPr>
        <w:overflowPunct/>
        <w:autoSpaceDE/>
        <w:autoSpaceDN/>
        <w:adjustRightInd/>
        <w:rPr>
          <w:rFonts w:ascii="Times New Roman" w:hAnsi="Times New Roman"/>
          <w:b/>
          <w:sz w:val="28"/>
          <w:szCs w:val="28"/>
          <w:lang w:val="uk-UA"/>
        </w:rPr>
      </w:pPr>
      <w:r w:rsidRPr="0064284B">
        <w:rPr>
          <w:rFonts w:ascii="Times New Roman" w:hAnsi="Times New Roman"/>
          <w:b/>
          <w:sz w:val="28"/>
          <w:szCs w:val="28"/>
          <w:lang w:val="uk-UA"/>
        </w:rPr>
        <w:t xml:space="preserve">Голова постійної комісії районної ради </w:t>
      </w:r>
    </w:p>
    <w:p w:rsidR="00833B2B" w:rsidRPr="0064284B" w:rsidRDefault="00833B2B" w:rsidP="00833B2B">
      <w:pPr>
        <w:overflowPunct/>
        <w:autoSpaceDE/>
        <w:autoSpaceDN/>
        <w:adjustRightInd/>
        <w:rPr>
          <w:rFonts w:ascii="Times New Roman" w:hAnsi="Times New Roman"/>
          <w:b/>
          <w:sz w:val="28"/>
          <w:szCs w:val="28"/>
          <w:lang w:val="uk-UA"/>
        </w:rPr>
      </w:pPr>
      <w:r w:rsidRPr="0064284B">
        <w:rPr>
          <w:rFonts w:ascii="Times New Roman" w:hAnsi="Times New Roman"/>
          <w:b/>
          <w:sz w:val="28"/>
          <w:szCs w:val="28"/>
          <w:lang w:val="uk-UA"/>
        </w:rPr>
        <w:t xml:space="preserve">з питань депутатської етики, дотримання </w:t>
      </w:r>
    </w:p>
    <w:p w:rsidR="00833B2B" w:rsidRPr="0064284B" w:rsidRDefault="00833B2B" w:rsidP="00833B2B">
      <w:pPr>
        <w:overflowPunct/>
        <w:autoSpaceDE/>
        <w:autoSpaceDN/>
        <w:adjustRightInd/>
        <w:rPr>
          <w:rFonts w:ascii="Times New Roman" w:hAnsi="Times New Roman"/>
          <w:b/>
          <w:sz w:val="28"/>
          <w:szCs w:val="28"/>
          <w:lang w:val="uk-UA"/>
        </w:rPr>
      </w:pPr>
      <w:r w:rsidRPr="0064284B">
        <w:rPr>
          <w:rFonts w:ascii="Times New Roman" w:hAnsi="Times New Roman"/>
          <w:b/>
          <w:sz w:val="28"/>
          <w:szCs w:val="28"/>
          <w:lang w:val="uk-UA"/>
        </w:rPr>
        <w:t>прав людини, законності та боротьби</w:t>
      </w:r>
    </w:p>
    <w:p w:rsidR="00833B2B" w:rsidRPr="0064284B" w:rsidRDefault="00833B2B" w:rsidP="00833B2B">
      <w:pPr>
        <w:overflowPunct/>
        <w:autoSpaceDE/>
        <w:autoSpaceDN/>
        <w:adjustRightInd/>
        <w:rPr>
          <w:rFonts w:ascii="Times New Roman" w:hAnsi="Times New Roman"/>
          <w:b/>
          <w:sz w:val="28"/>
          <w:szCs w:val="28"/>
          <w:lang w:val="uk-UA"/>
        </w:rPr>
      </w:pPr>
      <w:r w:rsidRPr="0064284B">
        <w:rPr>
          <w:rFonts w:ascii="Times New Roman" w:hAnsi="Times New Roman"/>
          <w:b/>
          <w:sz w:val="28"/>
          <w:szCs w:val="28"/>
          <w:lang w:val="uk-UA"/>
        </w:rPr>
        <w:t xml:space="preserve">зі злочинністю                                                                              М.В. </w:t>
      </w:r>
      <w:proofErr w:type="spellStart"/>
      <w:r w:rsidRPr="0064284B">
        <w:rPr>
          <w:rFonts w:ascii="Times New Roman" w:hAnsi="Times New Roman"/>
          <w:b/>
          <w:sz w:val="28"/>
          <w:szCs w:val="28"/>
          <w:lang w:val="uk-UA"/>
        </w:rPr>
        <w:t>Філозоф</w:t>
      </w:r>
      <w:proofErr w:type="spellEnd"/>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Default="00833B2B" w:rsidP="00833B2B">
      <w:pPr>
        <w:shd w:val="clear" w:color="auto" w:fill="FFFFFF"/>
        <w:ind w:right="29"/>
        <w:jc w:val="center"/>
        <w:rPr>
          <w:sz w:val="22"/>
          <w:szCs w:val="22"/>
          <w:lang w:val="uk-UA"/>
        </w:rPr>
      </w:pPr>
    </w:p>
    <w:p w:rsidR="00833B2B" w:rsidRPr="0064284B" w:rsidRDefault="00833B2B" w:rsidP="00833B2B">
      <w:pPr>
        <w:shd w:val="clear" w:color="auto" w:fill="FFFFFF"/>
        <w:ind w:right="29"/>
        <w:jc w:val="center"/>
        <w:rPr>
          <w:sz w:val="22"/>
          <w:szCs w:val="22"/>
          <w:lang w:val="uk-UA"/>
        </w:rPr>
      </w:pPr>
    </w:p>
    <w:p w:rsidR="00833B2B" w:rsidRPr="00355CF4" w:rsidRDefault="00833B2B" w:rsidP="00833B2B">
      <w:pPr>
        <w:shd w:val="clear" w:color="auto" w:fill="FFFFFF"/>
        <w:ind w:right="29"/>
        <w:jc w:val="center"/>
        <w:rPr>
          <w:sz w:val="22"/>
          <w:szCs w:val="22"/>
        </w:rPr>
      </w:pPr>
    </w:p>
    <w:p w:rsidR="00833B2B" w:rsidRPr="00355CF4" w:rsidRDefault="00833B2B" w:rsidP="00833B2B">
      <w:pPr>
        <w:shd w:val="clear" w:color="auto" w:fill="FFFFFF"/>
        <w:ind w:right="29"/>
        <w:jc w:val="center"/>
        <w:rPr>
          <w:sz w:val="22"/>
          <w:szCs w:val="22"/>
        </w:rPr>
      </w:pPr>
    </w:p>
    <w:p w:rsidR="00833B2B" w:rsidRPr="00355CF4" w:rsidRDefault="00833B2B" w:rsidP="00833B2B">
      <w:pPr>
        <w:shd w:val="clear" w:color="auto" w:fill="FFFFFF"/>
        <w:ind w:right="29"/>
        <w:jc w:val="center"/>
        <w:rPr>
          <w:sz w:val="22"/>
          <w:szCs w:val="22"/>
        </w:rPr>
      </w:pPr>
    </w:p>
    <w:p w:rsidR="00396B5E" w:rsidRDefault="00396B5E"/>
    <w:sectPr w:rsidR="00396B5E" w:rsidSect="00733CC5">
      <w:pgSz w:w="11906" w:h="16838"/>
      <w:pgMar w:top="284" w:right="746"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B2B"/>
    <w:rsid w:val="000120B6"/>
    <w:rsid w:val="00396B5E"/>
    <w:rsid w:val="00833B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2B"/>
    <w:pPr>
      <w:overflowPunct w:val="0"/>
      <w:autoSpaceDE w:val="0"/>
      <w:autoSpaceDN w:val="0"/>
      <w:adjustRightInd w:val="0"/>
    </w:pPr>
    <w:rPr>
      <w:rFonts w:ascii="Times New Roman CYR" w:eastAsia="Times New Roman" w:hAnsi="Times New Roman CYR"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3215</Words>
  <Characters>1833</Characters>
  <Application>Microsoft Office Word</Application>
  <DocSecurity>0</DocSecurity>
  <Lines>15</Lines>
  <Paragraphs>10</Paragraphs>
  <ScaleCrop>false</ScaleCrop>
  <Company>SPecialiST RePack</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Іванка</cp:lastModifiedBy>
  <cp:revision>1</cp:revision>
  <dcterms:created xsi:type="dcterms:W3CDTF">2014-06-10T12:39:00Z</dcterms:created>
  <dcterms:modified xsi:type="dcterms:W3CDTF">2014-06-10T12:39:00Z</dcterms:modified>
</cp:coreProperties>
</file>