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C" w:rsidRPr="002E682B" w:rsidRDefault="00CD06EC" w:rsidP="00400B14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2E682B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РІШЕННЯ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</w:p>
    <w:p w:rsidR="00CD06EC" w:rsidRPr="002E682B" w:rsidRDefault="00990AF1" w:rsidP="00CD0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CD06EC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№____</w:t>
      </w:r>
    </w:p>
    <w:p w:rsidR="00CD06EC" w:rsidRPr="002E682B" w:rsidRDefault="00CD06EC" w:rsidP="00CD06EC">
      <w:pPr>
        <w:spacing w:line="240" w:lineRule="auto"/>
        <w:jc w:val="both"/>
        <w:rPr>
          <w:sz w:val="24"/>
          <w:szCs w:val="24"/>
          <w:lang w:val="uk-UA"/>
        </w:rPr>
      </w:pPr>
      <w:r w:rsidRPr="002E682B">
        <w:rPr>
          <w:rFonts w:ascii="Times New Roman" w:hAnsi="Times New Roman" w:cs="Times New Roman"/>
          <w:sz w:val="24"/>
          <w:szCs w:val="24"/>
          <w:lang w:val="uk-UA"/>
        </w:rPr>
        <w:t>м.Луцьк</w:t>
      </w:r>
      <w:r w:rsidRPr="002E682B">
        <w:rPr>
          <w:sz w:val="24"/>
          <w:szCs w:val="24"/>
          <w:lang w:val="uk-UA"/>
        </w:rPr>
        <w:tab/>
      </w:r>
    </w:p>
    <w:p w:rsidR="00A23410" w:rsidRPr="002E682B" w:rsidRDefault="00881C33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Комунального некомерційного підприємства «</w:t>
      </w:r>
      <w:r w:rsidR="006C39B3">
        <w:rPr>
          <w:rFonts w:ascii="Times New Roman" w:hAnsi="Times New Roman" w:cs="Times New Roman"/>
          <w:b/>
          <w:sz w:val="28"/>
          <w:szCs w:val="28"/>
          <w:lang w:val="uk-UA"/>
        </w:rPr>
        <w:t>Горохівська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центральна районна лікарня» </w:t>
      </w:r>
      <w:r w:rsidR="006C39B3">
        <w:rPr>
          <w:rFonts w:ascii="Times New Roman" w:hAnsi="Times New Roman" w:cs="Times New Roman"/>
          <w:b/>
          <w:sz w:val="28"/>
          <w:szCs w:val="28"/>
          <w:lang w:val="uk-UA"/>
        </w:rPr>
        <w:t>Горохівської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із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спільної власності територіальних громад сіл, селищ та міст Луцького району Волинської області укомунальну власність </w:t>
      </w:r>
      <w:r w:rsidR="00C453A8">
        <w:rPr>
          <w:rFonts w:ascii="Times New Roman" w:hAnsi="Times New Roman" w:cs="Times New Roman"/>
          <w:b/>
          <w:sz w:val="28"/>
          <w:szCs w:val="28"/>
          <w:lang w:val="uk-UA"/>
        </w:rPr>
        <w:t>Волинської обласної ради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B14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пункту 10 Прикінцевих та перехідних положень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4374A">
        <w:rPr>
          <w:rFonts w:ascii="Times New Roman" w:hAnsi="Times New Roman" w:cs="Times New Roman"/>
          <w:sz w:val="28"/>
          <w:szCs w:val="28"/>
          <w:lang w:val="uk-UA"/>
        </w:rPr>
        <w:t>16.01.2021 №5/4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B14">
        <w:rPr>
          <w:rFonts w:ascii="Times New Roman" w:hAnsi="Times New Roman" w:cs="Times New Roman"/>
          <w:sz w:val="28"/>
          <w:szCs w:val="28"/>
          <w:lang w:val="uk-UA"/>
        </w:rPr>
        <w:t>«Про проєкт рішення «</w:t>
      </w:r>
      <w:r w:rsidR="00400B14" w:rsidRPr="00400B14">
        <w:rPr>
          <w:rFonts w:ascii="Times New Roman" w:hAnsi="Times New Roman" w:cs="Times New Roman"/>
          <w:sz w:val="28"/>
          <w:szCs w:val="28"/>
          <w:lang w:val="uk-UA"/>
        </w:rPr>
        <w:t>Про передачу Комунального некомерційного підприємства «Горохівська центральна районна лікарня» Горохівської районної ради із спільної власності територіальних громад сіл, селищ та міст Луцького району Волинської області укомунальну власність Волинської обласної ради</w:t>
      </w:r>
      <w:r w:rsidR="00400B1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районна рада</w:t>
      </w: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B1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E682B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40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із спільної власності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сіл, селищ та міст Луцького району Волинської області у комунальну власність </w:t>
      </w:r>
      <w:r w:rsidR="008829CB">
        <w:rPr>
          <w:rFonts w:ascii="Times New Roman" w:hAnsi="Times New Roman" w:cs="Times New Roman"/>
          <w:sz w:val="28"/>
          <w:szCs w:val="28"/>
          <w:lang w:val="uk-UA"/>
        </w:rPr>
        <w:t>Волинської обласної ради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</w:t>
      </w:r>
      <w:r w:rsidR="008829CB" w:rsidRPr="008829CB">
        <w:rPr>
          <w:rFonts w:ascii="Times New Roman" w:hAnsi="Times New Roman" w:cs="Times New Roman"/>
          <w:sz w:val="28"/>
          <w:szCs w:val="28"/>
          <w:lang w:val="uk-UA"/>
        </w:rPr>
        <w:t>Горохівська центральна районна лікарня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D75C2" w:rsidRPr="005D75C2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(далі – КНП «</w:t>
      </w:r>
      <w:r w:rsidR="005D75C2" w:rsidRPr="008829CB">
        <w:rPr>
          <w:rFonts w:ascii="Times New Roman" w:hAnsi="Times New Roman" w:cs="Times New Roman"/>
          <w:sz w:val="28"/>
          <w:szCs w:val="28"/>
          <w:lang w:val="uk-UA"/>
        </w:rPr>
        <w:t>Горохівська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>ЦРЛ»)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5D75C2" w:rsidRPr="005D75C2">
        <w:rPr>
          <w:rFonts w:ascii="Times New Roman" w:hAnsi="Times New Roman" w:cs="Times New Roman"/>
          <w:sz w:val="28"/>
          <w:szCs w:val="28"/>
          <w:lang w:val="uk-UA"/>
        </w:rPr>
        <w:t>01982896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вулиця </w:t>
      </w:r>
      <w:r w:rsidR="00BC33C2">
        <w:rPr>
          <w:rFonts w:ascii="Times New Roman" w:hAnsi="Times New Roman" w:cs="Times New Roman"/>
          <w:sz w:val="28"/>
          <w:szCs w:val="28"/>
          <w:lang w:val="uk-UA"/>
        </w:rPr>
        <w:t>Паркова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33C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 місто </w:t>
      </w:r>
      <w:r w:rsidR="00BC33C2">
        <w:rPr>
          <w:rFonts w:ascii="Times New Roman" w:hAnsi="Times New Roman" w:cs="Times New Roman"/>
          <w:sz w:val="28"/>
          <w:szCs w:val="28"/>
          <w:lang w:val="uk-UA"/>
        </w:rPr>
        <w:t>Горохів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Волинська область, 45</w:t>
      </w:r>
      <w:r w:rsidR="00BC33C2">
        <w:rPr>
          <w:rFonts w:ascii="Times New Roman" w:hAnsi="Times New Roman" w:cs="Times New Roman"/>
          <w:sz w:val="28"/>
          <w:szCs w:val="28"/>
          <w:lang w:val="uk-UA"/>
        </w:rPr>
        <w:t>701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11085C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засоби, майно,</w:t>
      </w:r>
      <w:r w:rsidR="008F30D6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малоцінні та швидкозношуючі предмети, інші необоротні активи згідно даних бухгалтерського обліку</w:t>
      </w:r>
      <w:r w:rsidR="00CE2967"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r w:rsidR="00BC33C2">
        <w:rPr>
          <w:rFonts w:ascii="Times New Roman" w:hAnsi="Times New Roman" w:cs="Times New Roman"/>
          <w:sz w:val="28"/>
          <w:szCs w:val="28"/>
          <w:lang w:val="uk-UA"/>
        </w:rPr>
        <w:t>Волинській обласній раді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приймання – передачі КНП «</w:t>
      </w:r>
      <w:r w:rsidR="00BC33C2" w:rsidRPr="008829CB">
        <w:rPr>
          <w:rFonts w:ascii="Times New Roman" w:hAnsi="Times New Roman" w:cs="Times New Roman"/>
          <w:sz w:val="28"/>
          <w:szCs w:val="28"/>
          <w:lang w:val="uk-UA"/>
        </w:rPr>
        <w:t>Горохівська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ЦРЛ» згідно з чинним законодавством.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Виключити з переліку об’єктів спільної власності територіальних громад сіл, селищ та міст Луцького району Волинської області КНП «</w:t>
      </w:r>
      <w:r w:rsidR="00E32F44">
        <w:rPr>
          <w:rFonts w:ascii="Times New Roman" w:hAnsi="Times New Roman" w:cs="Times New Roman"/>
          <w:sz w:val="28"/>
          <w:szCs w:val="28"/>
          <w:lang w:val="uk-UA"/>
        </w:rPr>
        <w:t>Горохівська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21139C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 та майно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3.2. Вийти зі складу засновників КНП «</w:t>
      </w:r>
      <w:r w:rsidR="00E32F44">
        <w:rPr>
          <w:rFonts w:ascii="Times New Roman" w:hAnsi="Times New Roman" w:cs="Times New Roman"/>
          <w:sz w:val="28"/>
          <w:szCs w:val="28"/>
          <w:lang w:val="uk-UA"/>
        </w:rPr>
        <w:t>Горохівська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ЦРЛ».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2E682B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2E682B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2E682B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E682B">
        <w:rPr>
          <w:rFonts w:ascii="Times New Roman" w:hAnsi="Times New Roman"/>
          <w:sz w:val="24"/>
          <w:szCs w:val="24"/>
          <w:lang w:val="uk-UA"/>
        </w:rPr>
        <w:t>Матвійчук728092</w:t>
      </w: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9157F" w:rsidRDefault="00F9157F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F9157F" w:rsidSect="00CA3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58" w:rsidRDefault="00CB2358" w:rsidP="00363402">
      <w:pPr>
        <w:spacing w:after="0" w:line="240" w:lineRule="auto"/>
      </w:pPr>
      <w:r>
        <w:separator/>
      </w:r>
    </w:p>
  </w:endnote>
  <w:endnote w:type="continuationSeparator" w:id="1">
    <w:p w:rsidR="00CB2358" w:rsidRDefault="00CB2358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58" w:rsidRDefault="00CB2358" w:rsidP="00363402">
      <w:pPr>
        <w:spacing w:after="0" w:line="240" w:lineRule="auto"/>
      </w:pPr>
      <w:r>
        <w:separator/>
      </w:r>
    </w:p>
  </w:footnote>
  <w:footnote w:type="continuationSeparator" w:id="1">
    <w:p w:rsidR="00CB2358" w:rsidRDefault="00CB2358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Default="00CB2358" w:rsidP="00DB4287">
    <w:pPr>
      <w:pStyle w:val="a7"/>
      <w:tabs>
        <w:tab w:val="clear" w:pos="4677"/>
        <w:tab w:val="clear" w:pos="9355"/>
        <w:tab w:val="left" w:pos="10923"/>
      </w:tabs>
      <w:rPr>
        <w:lang w:val="uk-UA"/>
      </w:rPr>
    </w:pPr>
  </w:p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87"/>
    <w:rsid w:val="000E0594"/>
    <w:rsid w:val="0011085C"/>
    <w:rsid w:val="001218FF"/>
    <w:rsid w:val="0021139C"/>
    <w:rsid w:val="00284BD8"/>
    <w:rsid w:val="002E682B"/>
    <w:rsid w:val="00317327"/>
    <w:rsid w:val="00363402"/>
    <w:rsid w:val="003635D6"/>
    <w:rsid w:val="003656CB"/>
    <w:rsid w:val="00400B14"/>
    <w:rsid w:val="0041121B"/>
    <w:rsid w:val="00467D99"/>
    <w:rsid w:val="0053400F"/>
    <w:rsid w:val="00580F90"/>
    <w:rsid w:val="005D6E92"/>
    <w:rsid w:val="005D75C2"/>
    <w:rsid w:val="005E0004"/>
    <w:rsid w:val="005F6144"/>
    <w:rsid w:val="0065142A"/>
    <w:rsid w:val="00664FEB"/>
    <w:rsid w:val="006A1CC0"/>
    <w:rsid w:val="006A225E"/>
    <w:rsid w:val="006C39B3"/>
    <w:rsid w:val="00711610"/>
    <w:rsid w:val="007D4E87"/>
    <w:rsid w:val="00806487"/>
    <w:rsid w:val="0085134F"/>
    <w:rsid w:val="008579AD"/>
    <w:rsid w:val="008765E3"/>
    <w:rsid w:val="00881C33"/>
    <w:rsid w:val="008829CB"/>
    <w:rsid w:val="008F30D6"/>
    <w:rsid w:val="00931CF3"/>
    <w:rsid w:val="00990AF1"/>
    <w:rsid w:val="00A049FA"/>
    <w:rsid w:val="00A23410"/>
    <w:rsid w:val="00A316C1"/>
    <w:rsid w:val="00A74CA8"/>
    <w:rsid w:val="00AE791B"/>
    <w:rsid w:val="00AF6AD2"/>
    <w:rsid w:val="00B01270"/>
    <w:rsid w:val="00B057BF"/>
    <w:rsid w:val="00B30587"/>
    <w:rsid w:val="00BC33C2"/>
    <w:rsid w:val="00BF5787"/>
    <w:rsid w:val="00C453A8"/>
    <w:rsid w:val="00CA1D4D"/>
    <w:rsid w:val="00CB2358"/>
    <w:rsid w:val="00CD06EC"/>
    <w:rsid w:val="00CE2967"/>
    <w:rsid w:val="00D05435"/>
    <w:rsid w:val="00D5042F"/>
    <w:rsid w:val="00D50990"/>
    <w:rsid w:val="00E32F44"/>
    <w:rsid w:val="00E977FE"/>
    <w:rsid w:val="00EC404A"/>
    <w:rsid w:val="00F35A32"/>
    <w:rsid w:val="00F4374A"/>
    <w:rsid w:val="00F60A69"/>
    <w:rsid w:val="00F9157F"/>
    <w:rsid w:val="00F9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C065-F8E1-48FE-8C77-E22B5E6A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Іванка</cp:lastModifiedBy>
  <cp:revision>37</cp:revision>
  <cp:lastPrinted>2021-01-15T08:46:00Z</cp:lastPrinted>
  <dcterms:created xsi:type="dcterms:W3CDTF">2020-12-22T10:31:00Z</dcterms:created>
  <dcterms:modified xsi:type="dcterms:W3CDTF">2021-01-16T11:32:00Z</dcterms:modified>
</cp:coreProperties>
</file>